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82" w:firstLineChars="200"/>
        <w:outlineLvl w:val="1"/>
        <w:rPr>
          <w:rFonts w:ascii="宋体" w:hAnsi="宋体"/>
          <w:b/>
          <w:bCs/>
          <w:sz w:val="24"/>
          <w:szCs w:val="24"/>
        </w:rPr>
      </w:pPr>
      <w:r>
        <w:rPr>
          <w:rFonts w:hint="eastAsia" w:ascii="宋体" w:hAnsi="宋体"/>
          <w:b/>
          <w:bCs/>
          <w:sz w:val="24"/>
          <w:szCs w:val="24"/>
        </w:rPr>
        <w:t>一、技术参数</w:t>
      </w:r>
    </w:p>
    <w:p>
      <w:pPr>
        <w:spacing w:line="360" w:lineRule="auto"/>
        <w:ind w:firstLine="482" w:firstLineChars="200"/>
        <w:outlineLvl w:val="2"/>
        <w:rPr>
          <w:rFonts w:ascii="宋体" w:hAnsi="宋体"/>
          <w:sz w:val="24"/>
          <w:szCs w:val="24"/>
        </w:rPr>
      </w:pPr>
      <w:r>
        <w:rPr>
          <w:rFonts w:ascii="宋体" w:hAnsi="宋体"/>
          <w:b/>
          <w:sz w:val="24"/>
          <w:szCs w:val="24"/>
        </w:rPr>
        <w:t>1.</w:t>
      </w:r>
      <w:r>
        <w:rPr>
          <w:rFonts w:hint="eastAsia" w:ascii="宋体" w:hAnsi="宋体"/>
          <w:b/>
          <w:sz w:val="24"/>
          <w:szCs w:val="24"/>
        </w:rPr>
        <w:t>项目名称</w:t>
      </w:r>
      <w:r>
        <w:rPr>
          <w:rFonts w:hint="eastAsia" w:ascii="宋体" w:hAnsi="宋体"/>
          <w:sz w:val="24"/>
          <w:szCs w:val="24"/>
        </w:rPr>
        <w:t>：</w:t>
      </w:r>
      <w:r>
        <w:rPr>
          <w:rFonts w:hint="eastAsia" w:ascii="宋体" w:hAnsi="宋体" w:cs="宋体"/>
          <w:b/>
          <w:bCs/>
          <w:color w:val="0000FF"/>
          <w:sz w:val="24"/>
          <w:szCs w:val="24"/>
        </w:rPr>
        <w:t>绍兴市上虞妇幼保健院医保网络安全服务采购项目</w:t>
      </w:r>
      <w:r>
        <w:rPr>
          <w:rFonts w:hint="eastAsia" w:ascii="宋体" w:hAnsi="宋体" w:cs="宋体"/>
          <w:color w:val="0000FF"/>
          <w:sz w:val="24"/>
          <w:szCs w:val="24"/>
        </w:rPr>
        <w:t>。</w:t>
      </w:r>
    </w:p>
    <w:p>
      <w:pPr>
        <w:spacing w:line="360" w:lineRule="auto"/>
        <w:ind w:firstLine="482" w:firstLineChars="200"/>
        <w:outlineLvl w:val="2"/>
        <w:rPr>
          <w:rFonts w:ascii="宋体" w:hAnsi="宋体" w:cs="宋体"/>
          <w:color w:val="0000FF"/>
          <w:sz w:val="24"/>
          <w:szCs w:val="24"/>
        </w:rPr>
      </w:pPr>
      <w:r>
        <w:rPr>
          <w:rFonts w:ascii="宋体" w:hAnsi="宋体"/>
          <w:b/>
          <w:color w:val="0000FF"/>
          <w:sz w:val="24"/>
          <w:szCs w:val="24"/>
        </w:rPr>
        <w:t>2.</w:t>
      </w:r>
      <w:r>
        <w:rPr>
          <w:rFonts w:hint="eastAsia" w:ascii="宋体" w:hAnsi="宋体"/>
          <w:b/>
          <w:color w:val="0000FF"/>
          <w:sz w:val="24"/>
          <w:szCs w:val="24"/>
        </w:rPr>
        <w:t>标准规范</w:t>
      </w:r>
      <w:r>
        <w:rPr>
          <w:rFonts w:hint="eastAsia" w:ascii="宋体" w:hAnsi="宋体"/>
          <w:color w:val="0000FF"/>
          <w:sz w:val="24"/>
          <w:szCs w:val="24"/>
        </w:rPr>
        <w:t>：</w:t>
      </w:r>
      <w:r>
        <w:rPr>
          <w:rFonts w:ascii="宋体" w:hAnsi="宋体"/>
          <w:color w:val="0000FF"/>
          <w:sz w:val="24"/>
          <w:szCs w:val="24"/>
        </w:rPr>
        <w:t>符合国家和地方的相关法律法规要求；软件设计严格执行国家有关软件工程标准，保证系统质量，提供完整、准确、详细的产品说明书，应用设计符合国际、国家、医疗卫生行业有关标准、规范和医院自身的发展规划</w:t>
      </w:r>
      <w:r>
        <w:rPr>
          <w:rFonts w:hint="eastAsia" w:ascii="宋体" w:hAnsi="宋体" w:cs="宋体"/>
          <w:color w:val="0000FF"/>
          <w:sz w:val="24"/>
          <w:szCs w:val="24"/>
        </w:rPr>
        <w:t>。</w:t>
      </w:r>
    </w:p>
    <w:p>
      <w:pPr>
        <w:spacing w:line="360" w:lineRule="auto"/>
        <w:ind w:firstLine="482" w:firstLineChars="200"/>
        <w:outlineLvl w:val="2"/>
        <w:rPr>
          <w:rFonts w:ascii="宋体" w:hAnsi="宋体"/>
          <w:sz w:val="24"/>
          <w:szCs w:val="24"/>
        </w:rPr>
      </w:pPr>
      <w:r>
        <w:rPr>
          <w:rFonts w:ascii="宋体" w:hAnsi="宋体"/>
          <w:b/>
          <w:sz w:val="24"/>
          <w:szCs w:val="24"/>
        </w:rPr>
        <w:t>3.</w:t>
      </w:r>
      <w:r>
        <w:rPr>
          <w:rFonts w:hint="eastAsia" w:ascii="宋体" w:hAnsi="宋体"/>
          <w:b/>
          <w:sz w:val="24"/>
          <w:szCs w:val="24"/>
        </w:rPr>
        <w:t>技术及服务要求</w:t>
      </w:r>
      <w:r>
        <w:rPr>
          <w:rFonts w:ascii="宋体" w:hAnsi="宋体"/>
          <w:b/>
          <w:sz w:val="24"/>
          <w:szCs w:val="24"/>
        </w:rPr>
        <w:t>（</w:t>
      </w:r>
      <w:r>
        <w:rPr>
          <w:rFonts w:hint="eastAsia" w:ascii="宋体" w:hAnsi="宋体"/>
          <w:b/>
          <w:sz w:val="24"/>
          <w:szCs w:val="24"/>
        </w:rPr>
        <w:t>采购</w:t>
      </w:r>
      <w:r>
        <w:rPr>
          <w:rFonts w:ascii="宋体" w:hAnsi="宋体"/>
          <w:b/>
          <w:sz w:val="24"/>
          <w:szCs w:val="24"/>
        </w:rPr>
        <w:t>内容）</w:t>
      </w:r>
      <w:r>
        <w:rPr>
          <w:rFonts w:ascii="宋体" w:hAnsi="宋体"/>
          <w:sz w:val="24"/>
          <w:szCs w:val="24"/>
        </w:rPr>
        <w:t>：</w:t>
      </w:r>
    </w:p>
    <w:tbl>
      <w:tblPr>
        <w:tblStyle w:val="4"/>
        <w:tblW w:w="8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7"/>
        <w:gridCol w:w="3343"/>
        <w:gridCol w:w="805"/>
        <w:gridCol w:w="941"/>
        <w:gridCol w:w="1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947" w:type="dxa"/>
            <w:vAlign w:val="center"/>
          </w:tcPr>
          <w:p>
            <w:pPr>
              <w:spacing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参数</w:t>
            </w:r>
          </w:p>
        </w:tc>
        <w:tc>
          <w:tcPr>
            <w:tcW w:w="3343" w:type="dxa"/>
            <w:vAlign w:val="center"/>
          </w:tcPr>
          <w:p>
            <w:pPr>
              <w:spacing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要求</w:t>
            </w:r>
          </w:p>
        </w:tc>
        <w:tc>
          <w:tcPr>
            <w:tcW w:w="805" w:type="dxa"/>
            <w:vAlign w:val="center"/>
          </w:tcPr>
          <w:p>
            <w:pPr>
              <w:spacing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单位</w:t>
            </w:r>
          </w:p>
        </w:tc>
        <w:tc>
          <w:tcPr>
            <w:tcW w:w="941" w:type="dxa"/>
            <w:vAlign w:val="center"/>
          </w:tcPr>
          <w:p>
            <w:pPr>
              <w:spacing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数量</w:t>
            </w:r>
          </w:p>
        </w:tc>
        <w:tc>
          <w:tcPr>
            <w:tcW w:w="1522" w:type="dxa"/>
            <w:vAlign w:val="center"/>
          </w:tcPr>
          <w:p>
            <w:pPr>
              <w:spacing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预算总价(元)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947"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网络安全服务</w:t>
            </w:r>
          </w:p>
        </w:tc>
        <w:tc>
          <w:tcPr>
            <w:tcW w:w="3343" w:type="dxa"/>
            <w:vAlign w:val="center"/>
          </w:tcPr>
          <w:p>
            <w:pPr>
              <w:spacing w:line="360" w:lineRule="auto"/>
              <w:jc w:val="center"/>
              <w:rPr>
                <w:rFonts w:ascii="宋体" w:hAnsi="宋体" w:eastAsia="宋体" w:cs="宋体"/>
                <w:sz w:val="21"/>
                <w:szCs w:val="21"/>
              </w:rPr>
            </w:pPr>
            <w:r>
              <w:rPr>
                <w:rFonts w:hint="eastAsia" w:ascii="宋体" w:hAnsi="宋体" w:eastAsia="宋体" w:cs="宋体"/>
                <w:sz w:val="21"/>
                <w:szCs w:val="21"/>
              </w:rPr>
              <w:t>具体见技术参数及相关服务要求</w:t>
            </w:r>
          </w:p>
        </w:tc>
        <w:tc>
          <w:tcPr>
            <w:tcW w:w="805" w:type="dxa"/>
            <w:vAlign w:val="center"/>
          </w:tcPr>
          <w:p>
            <w:pPr>
              <w:spacing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年</w:t>
            </w:r>
          </w:p>
        </w:tc>
        <w:tc>
          <w:tcPr>
            <w:tcW w:w="941" w:type="dxa"/>
            <w:vAlign w:val="center"/>
          </w:tcPr>
          <w:p>
            <w:pPr>
              <w:spacing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1</w:t>
            </w:r>
          </w:p>
        </w:tc>
        <w:tc>
          <w:tcPr>
            <w:tcW w:w="1522" w:type="dxa"/>
            <w:vAlign w:val="center"/>
          </w:tcPr>
          <w:p>
            <w:pPr>
              <w:spacing w:line="360" w:lineRule="auto"/>
              <w:jc w:val="center"/>
              <w:rPr>
                <w:rFonts w:ascii="宋体" w:hAnsi="宋体" w:eastAsia="宋体" w:cs="宋体"/>
                <w:color w:val="000000"/>
                <w:sz w:val="21"/>
                <w:szCs w:val="21"/>
              </w:rPr>
            </w:pPr>
            <w:r>
              <w:rPr>
                <w:rFonts w:hint="eastAsia" w:ascii="宋体" w:hAnsi="宋体" w:eastAsia="宋体" w:cs="宋体"/>
                <w:color w:val="000000"/>
                <w:sz w:val="21"/>
                <w:szCs w:val="21"/>
              </w:rPr>
              <w:t>30000</w:t>
            </w:r>
          </w:p>
        </w:tc>
      </w:tr>
    </w:tbl>
    <w:p>
      <w:pPr>
        <w:pStyle w:val="2"/>
        <w:jc w:val="both"/>
        <w:rPr>
          <w:rFonts w:hAnsi="宋体"/>
          <w:b/>
          <w:bCs/>
          <w:sz w:val="24"/>
          <w:szCs w:val="24"/>
        </w:rPr>
      </w:pPr>
      <w:r>
        <w:rPr>
          <w:rFonts w:hint="eastAsia"/>
          <w:color w:val="000000"/>
          <w:sz w:val="24"/>
          <w:szCs w:val="24"/>
        </w:rPr>
        <w:t>招标参数要求：</w:t>
      </w:r>
    </w:p>
    <w:tbl>
      <w:tblPr>
        <w:tblStyle w:val="4"/>
        <w:tblW w:w="85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34"/>
        <w:gridCol w:w="6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4" w:type="dxa"/>
          </w:tcPr>
          <w:p>
            <w:pPr>
              <w:pStyle w:val="3"/>
              <w:widowControl/>
              <w:spacing w:before="300" w:after="300" w:line="360" w:lineRule="atLeast"/>
              <w:ind w:firstLine="360"/>
              <w:jc w:val="center"/>
              <w:rPr>
                <w:color w:val="000000"/>
              </w:rPr>
            </w:pPr>
            <w:r>
              <w:rPr>
                <w:rFonts w:hint="eastAsia"/>
                <w:color w:val="000000"/>
              </w:rPr>
              <w:t>指标</w:t>
            </w:r>
          </w:p>
        </w:tc>
        <w:tc>
          <w:tcPr>
            <w:tcW w:w="6585" w:type="dxa"/>
          </w:tcPr>
          <w:p>
            <w:pPr>
              <w:pStyle w:val="3"/>
              <w:widowControl/>
              <w:spacing w:before="300" w:after="300" w:line="360" w:lineRule="atLeast"/>
              <w:ind w:firstLine="360"/>
              <w:rPr>
                <w:color w:val="000000"/>
              </w:rPr>
            </w:pPr>
            <w:r>
              <w:rPr>
                <w:rFonts w:hint="eastAsia"/>
                <w:color w:val="000000"/>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934" w:type="dxa"/>
            <w:vAlign w:val="center"/>
          </w:tcPr>
          <w:p>
            <w:pPr>
              <w:pStyle w:val="3"/>
              <w:widowControl/>
              <w:spacing w:before="300" w:after="300" w:line="360" w:lineRule="atLeast"/>
              <w:jc w:val="center"/>
              <w:rPr>
                <w:color w:val="000000"/>
              </w:rPr>
            </w:pPr>
            <w:r>
              <w:rPr>
                <w:rFonts w:hint="eastAsia"/>
              </w:rPr>
              <w:t>产品部署</w:t>
            </w:r>
          </w:p>
        </w:tc>
        <w:tc>
          <w:tcPr>
            <w:tcW w:w="6585" w:type="dxa"/>
          </w:tcPr>
          <w:p>
            <w:pPr>
              <w:pStyle w:val="3"/>
              <w:spacing w:before="300" w:after="300" w:line="360" w:lineRule="atLeast"/>
              <w:jc w:val="left"/>
              <w:rPr>
                <w:color w:val="000000"/>
              </w:rPr>
            </w:pPr>
            <w:r>
              <w:rPr>
                <w:rFonts w:hint="eastAsia"/>
              </w:rPr>
              <w:t>要求中标方在合同签订后，7个工作日内完成安全服务相关设备的部署。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7" w:hRule="atLeast"/>
        </w:trPr>
        <w:tc>
          <w:tcPr>
            <w:tcW w:w="1934" w:type="dxa"/>
            <w:vAlign w:val="center"/>
          </w:tcPr>
          <w:p>
            <w:pPr>
              <w:pStyle w:val="3"/>
              <w:widowControl/>
              <w:spacing w:before="300" w:after="300" w:line="360" w:lineRule="atLeast"/>
              <w:jc w:val="center"/>
              <w:rPr>
                <w:color w:val="000000"/>
              </w:rPr>
            </w:pPr>
            <w:r>
              <w:rPr>
                <w:rFonts w:hint="eastAsia"/>
                <w:color w:val="000000"/>
              </w:rPr>
              <w:t>业务安全</w:t>
            </w:r>
          </w:p>
        </w:tc>
        <w:tc>
          <w:tcPr>
            <w:tcW w:w="6585" w:type="dxa"/>
          </w:tcPr>
          <w:p>
            <w:pPr>
              <w:pStyle w:val="3"/>
              <w:widowControl/>
              <w:spacing w:before="300" w:after="300" w:line="360" w:lineRule="atLeast"/>
              <w:jc w:val="left"/>
              <w:rPr>
                <w:color w:val="000000"/>
              </w:rPr>
            </w:pPr>
            <w:r>
              <w:rPr>
                <w:rFonts w:hint="eastAsia"/>
                <w:color w:val="000000"/>
              </w:rPr>
              <w:t>中标方提供完善的单点故障解决方案，医保安全网络服务故障或中标方提供的设备出现故障时，具备绕行机制，保障医院医保业务正常运行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trPr>
        <w:tc>
          <w:tcPr>
            <w:tcW w:w="1934" w:type="dxa"/>
            <w:vAlign w:val="center"/>
          </w:tcPr>
          <w:p>
            <w:pPr>
              <w:pStyle w:val="3"/>
              <w:widowControl/>
              <w:spacing w:before="300" w:after="300" w:line="360" w:lineRule="atLeast"/>
              <w:jc w:val="center"/>
              <w:rPr>
                <w:color w:val="000000"/>
              </w:rPr>
            </w:pPr>
            <w:r>
              <w:rPr>
                <w:rFonts w:hint="eastAsia"/>
                <w:color w:val="000000"/>
              </w:rPr>
              <w:t>服务响应时间</w:t>
            </w:r>
          </w:p>
        </w:tc>
        <w:tc>
          <w:tcPr>
            <w:tcW w:w="6585" w:type="dxa"/>
          </w:tcPr>
          <w:p>
            <w:pPr>
              <w:pStyle w:val="3"/>
              <w:widowControl/>
              <w:spacing w:before="300" w:after="300" w:line="360" w:lineRule="atLeast"/>
              <w:jc w:val="left"/>
              <w:rPr>
                <w:color w:val="000000"/>
              </w:rPr>
            </w:pPr>
            <w:r>
              <w:rPr>
                <w:rFonts w:hint="eastAsia"/>
                <w:color w:val="000000"/>
              </w:rPr>
              <w:t>提供7*24小时服务，通过电话或者远程进行维护，服务响应时间5分钟。电话和远程不能解决的问题，30分钟内到达现场进行解决。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4" w:type="dxa"/>
            <w:vAlign w:val="center"/>
          </w:tcPr>
          <w:p>
            <w:pPr>
              <w:pStyle w:val="3"/>
              <w:widowControl/>
              <w:spacing w:before="300" w:after="300" w:line="360" w:lineRule="atLeast"/>
              <w:jc w:val="center"/>
            </w:pPr>
            <w:r>
              <w:rPr>
                <w:rFonts w:hint="eastAsia"/>
                <w:bCs/>
              </w:rPr>
              <w:t>网络终端支持数</w:t>
            </w:r>
          </w:p>
        </w:tc>
        <w:tc>
          <w:tcPr>
            <w:tcW w:w="6585" w:type="dxa"/>
          </w:tcPr>
          <w:p>
            <w:pPr>
              <w:jc w:val="left"/>
              <w:rPr>
                <w:rFonts w:ascii="宋体" w:hAnsi="宋体"/>
                <w:szCs w:val="24"/>
              </w:rPr>
            </w:pPr>
            <w:r>
              <w:rPr>
                <w:rFonts w:hint="eastAsia" w:ascii="宋体" w:hAnsi="宋体" w:cs="宋体"/>
                <w:bCs/>
                <w:sz w:val="24"/>
                <w:szCs w:val="24"/>
              </w:rPr>
              <w:t>并行400以上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4" w:type="dxa"/>
            <w:vAlign w:val="center"/>
          </w:tcPr>
          <w:p>
            <w:pPr>
              <w:pStyle w:val="3"/>
              <w:widowControl/>
              <w:spacing w:before="300" w:after="300" w:line="360" w:lineRule="atLeast"/>
              <w:jc w:val="center"/>
              <w:rPr>
                <w:color w:val="000000"/>
              </w:rPr>
            </w:pPr>
            <w:r>
              <w:rPr>
                <w:rFonts w:hint="eastAsia"/>
                <w:color w:val="000000"/>
              </w:rPr>
              <w:t>网络安全</w:t>
            </w:r>
          </w:p>
        </w:tc>
        <w:tc>
          <w:tcPr>
            <w:tcW w:w="6585" w:type="dxa"/>
          </w:tcPr>
          <w:p>
            <w:pPr>
              <w:widowControl/>
              <w:jc w:val="left"/>
              <w:rPr>
                <w:rFonts w:ascii="宋体" w:hAnsi="宋体" w:cs="宋体"/>
                <w:color w:val="000000"/>
                <w:sz w:val="24"/>
                <w:szCs w:val="24"/>
              </w:rPr>
            </w:pPr>
            <w:r>
              <w:rPr>
                <w:rFonts w:hint="eastAsia" w:ascii="宋体" w:hAnsi="宋体" w:cs="宋体"/>
                <w:bCs/>
                <w:sz w:val="24"/>
                <w:szCs w:val="24"/>
              </w:rPr>
              <w:t>加密:支持IPSec VPN、L2TP VPN.GRE VPN、SSL VPN;安全特征库:配置授权应用特征库、IPS库、防病毒库及日志加密、转换及分析功能。具备访问控制、入侵检测（防御）、防病毒、勒索软件防护、虚拟补丁防护等功能。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4" w:type="dxa"/>
            <w:vAlign w:val="center"/>
          </w:tcPr>
          <w:p>
            <w:pPr>
              <w:pStyle w:val="3"/>
              <w:widowControl/>
              <w:spacing w:before="300" w:after="300" w:line="360" w:lineRule="atLeast"/>
              <w:jc w:val="center"/>
              <w:rPr>
                <w:color w:val="000000"/>
              </w:rPr>
            </w:pPr>
            <w:r>
              <w:rPr>
                <w:rFonts w:hint="eastAsia"/>
              </w:rPr>
              <w:t>★</w:t>
            </w:r>
            <w:r>
              <w:rPr>
                <w:rFonts w:hint="eastAsia"/>
                <w:color w:val="000000"/>
              </w:rPr>
              <w:t>产品描述</w:t>
            </w:r>
          </w:p>
        </w:tc>
        <w:tc>
          <w:tcPr>
            <w:tcW w:w="6585" w:type="dxa"/>
          </w:tcPr>
          <w:p>
            <w:pPr>
              <w:rPr>
                <w:rFonts w:ascii="宋体" w:hAnsi="宋体" w:cs="宋体"/>
                <w:bCs/>
                <w:sz w:val="24"/>
                <w:szCs w:val="24"/>
              </w:rPr>
            </w:pPr>
            <w:r>
              <w:rPr>
                <w:rFonts w:hint="eastAsia" w:ascii="宋体" w:hAnsi="宋体" w:cs="宋体"/>
                <w:bCs/>
                <w:sz w:val="24"/>
                <w:szCs w:val="24"/>
              </w:rPr>
              <w:t>内存:不低于8G;</w:t>
            </w:r>
          </w:p>
          <w:p>
            <w:pPr>
              <w:rPr>
                <w:rFonts w:ascii="宋体" w:hAnsi="宋体" w:cs="宋体"/>
                <w:bCs/>
                <w:sz w:val="24"/>
                <w:szCs w:val="24"/>
              </w:rPr>
            </w:pPr>
            <w:r>
              <w:rPr>
                <w:rFonts w:hint="eastAsia" w:ascii="宋体" w:hAnsi="宋体" w:cs="宋体"/>
                <w:bCs/>
                <w:sz w:val="24"/>
                <w:szCs w:val="24"/>
              </w:rPr>
              <w:t>硬盘容量:不低于128GB;</w:t>
            </w:r>
          </w:p>
          <w:p>
            <w:pPr>
              <w:rPr>
                <w:rFonts w:ascii="宋体" w:hAnsi="宋体" w:cs="宋体"/>
                <w:bCs/>
                <w:sz w:val="24"/>
                <w:szCs w:val="24"/>
              </w:rPr>
            </w:pPr>
            <w:r>
              <w:rPr>
                <w:rFonts w:hint="eastAsia" w:ascii="宋体" w:hAnsi="宋体" w:cs="宋体"/>
                <w:bCs/>
                <w:sz w:val="24"/>
                <w:szCs w:val="24"/>
              </w:rPr>
              <w:t>接口:具备千兆电口不低于8个，万兆光口不低于4个，双电源;</w:t>
            </w:r>
          </w:p>
          <w:p>
            <w:pPr>
              <w:rPr>
                <w:color w:val="000000"/>
              </w:rPr>
            </w:pPr>
            <w:r>
              <w:rPr>
                <w:rFonts w:hint="eastAsia" w:ascii="宋体" w:hAnsi="宋体" w:cs="宋体"/>
                <w:bCs/>
                <w:sz w:val="24"/>
                <w:szCs w:val="24"/>
              </w:rPr>
              <w:t>性能:整机吞吐量不低于20Gbps，每秒新建连接数不低于23万，最大并发连接数不低于500万;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34" w:type="dxa"/>
            <w:vAlign w:val="center"/>
          </w:tcPr>
          <w:p>
            <w:pPr>
              <w:pStyle w:val="3"/>
              <w:widowControl/>
              <w:spacing w:before="300" w:after="300" w:line="360" w:lineRule="atLeast"/>
              <w:jc w:val="center"/>
            </w:pPr>
            <w:r>
              <w:rPr>
                <w:rFonts w:hint="default" w:ascii="宋体" w:hAnsi="宋体" w:eastAsia="宋体" w:cs="宋体"/>
                <w:b w:val="0"/>
                <w:bCs w:val="0"/>
                <w:i w:val="0"/>
                <w:iCs w:val="0"/>
                <w:color w:val="auto"/>
                <w:sz w:val="24"/>
                <w:szCs w:val="24"/>
                <w:highlight w:val="none"/>
                <w:vertAlign w:val="baseline"/>
                <w:lang w:val="en-US" w:eastAsia="zh-CN"/>
              </w:rPr>
              <w:t>★</w:t>
            </w:r>
            <w:r>
              <w:rPr>
                <w:rFonts w:hint="eastAsia"/>
              </w:rPr>
              <w:t>信创要求</w:t>
            </w:r>
          </w:p>
        </w:tc>
        <w:tc>
          <w:tcPr>
            <w:tcW w:w="6585" w:type="dxa"/>
          </w:tcPr>
          <w:p>
            <w:pPr>
              <w:pStyle w:val="3"/>
              <w:spacing w:before="300" w:after="300" w:line="360" w:lineRule="atLeast"/>
              <w:rPr>
                <w:bCs/>
              </w:rPr>
            </w:pPr>
            <w:r>
              <w:rPr>
                <w:rFonts w:hint="eastAsia"/>
                <w:bCs/>
              </w:rPr>
              <w:t>服务提供的相关设备必须符合国家信创要求（交货前需提供符合信创要求的证明材料）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0" w:hRule="atLeast"/>
        </w:trPr>
        <w:tc>
          <w:tcPr>
            <w:tcW w:w="1934" w:type="dxa"/>
            <w:vAlign w:val="center"/>
          </w:tcPr>
          <w:p>
            <w:pPr>
              <w:pStyle w:val="3"/>
              <w:widowControl/>
              <w:spacing w:before="300" w:after="300" w:line="360" w:lineRule="atLeast"/>
              <w:jc w:val="center"/>
            </w:pPr>
            <w:r>
              <w:rPr>
                <w:rFonts w:hint="eastAsia"/>
              </w:rPr>
              <w:t>软件功能特性</w:t>
            </w:r>
          </w:p>
        </w:tc>
        <w:tc>
          <w:tcPr>
            <w:tcW w:w="6585" w:type="dxa"/>
          </w:tcPr>
          <w:p>
            <w:pPr>
              <w:pStyle w:val="8"/>
              <w:widowControl/>
              <w:numPr>
                <w:ilvl w:val="0"/>
                <w:numId w:val="1"/>
              </w:numPr>
              <w:ind w:firstLineChars="0"/>
              <w:rPr>
                <w:rFonts w:ascii="宋体" w:hAnsi="宋体" w:cs="宋体"/>
                <w:color w:val="000000"/>
                <w:sz w:val="24"/>
              </w:rPr>
            </w:pPr>
            <w:r>
              <w:rPr>
                <w:rFonts w:hint="eastAsia" w:ascii="宋体" w:hAnsi="宋体" w:cs="宋体"/>
                <w:color w:val="000000"/>
                <w:sz w:val="24"/>
              </w:rPr>
              <w:t>支持自动生成安全策略。统一管理平台可通过对流量日志的统计整理，自动生成安全策略，并下发给防火墙设备，提高运维人员工作效率（提供具备C</w:t>
            </w:r>
            <w:r>
              <w:rPr>
                <w:rFonts w:ascii="宋体" w:hAnsi="宋体" w:cs="宋体"/>
                <w:color w:val="000000"/>
                <w:sz w:val="24"/>
              </w:rPr>
              <w:t>NAS标识的</w:t>
            </w:r>
            <w:r>
              <w:rPr>
                <w:rFonts w:hint="eastAsia" w:ascii="宋体" w:hAnsi="宋体" w:cs="宋体"/>
                <w:color w:val="000000"/>
                <w:sz w:val="24"/>
              </w:rPr>
              <w:t>第三方检测报告）；</w:t>
            </w:r>
          </w:p>
          <w:p>
            <w:pPr>
              <w:pStyle w:val="8"/>
              <w:widowControl/>
              <w:numPr>
                <w:ilvl w:val="0"/>
                <w:numId w:val="1"/>
              </w:numPr>
              <w:ind w:firstLineChars="0"/>
              <w:rPr>
                <w:rFonts w:ascii="宋体" w:hAnsi="宋体" w:cs="微软雅黑"/>
                <w:color w:val="000000"/>
                <w:sz w:val="24"/>
              </w:rPr>
            </w:pPr>
            <w:r>
              <w:rPr>
                <w:rFonts w:hint="eastAsia" w:ascii="宋体" w:hAnsi="宋体" w:cs="宋体"/>
                <w:color w:val="000000"/>
                <w:sz w:val="24"/>
              </w:rPr>
              <w:t>支持通过命令行的方式对设备内部数据流进行分析，可快速定位造成故障的防火墙内部功能模块，便于进行故障排查（提供具备C</w:t>
            </w:r>
            <w:r>
              <w:rPr>
                <w:rFonts w:ascii="宋体" w:hAnsi="宋体" w:cs="宋体"/>
                <w:color w:val="000000"/>
                <w:sz w:val="24"/>
              </w:rPr>
              <w:t>NAS标识的</w:t>
            </w:r>
            <w:r>
              <w:rPr>
                <w:rFonts w:hint="eastAsia" w:ascii="宋体" w:hAnsi="宋体" w:cs="宋体"/>
                <w:color w:val="000000"/>
                <w:sz w:val="24"/>
              </w:rPr>
              <w:t>第三方检测报告）；</w:t>
            </w:r>
          </w:p>
          <w:p>
            <w:pPr>
              <w:pStyle w:val="8"/>
              <w:widowControl/>
              <w:numPr>
                <w:ilvl w:val="0"/>
                <w:numId w:val="1"/>
              </w:numPr>
              <w:ind w:firstLineChars="0"/>
              <w:rPr>
                <w:rFonts w:ascii="宋体" w:hAnsi="宋体" w:cs="宋体"/>
                <w:color w:val="000000"/>
                <w:sz w:val="24"/>
              </w:rPr>
            </w:pPr>
            <w:r>
              <w:rPr>
                <w:rFonts w:hint="default" w:ascii="宋体" w:hAnsi="宋体"/>
                <w:sz w:val="24"/>
                <w:szCs w:val="24"/>
              </w:rPr>
              <w:t>▲</w:t>
            </w:r>
            <w:r>
              <w:rPr>
                <w:rFonts w:hint="eastAsia" w:ascii="宋体" w:hAnsi="宋体" w:cs="宋体"/>
                <w:color w:val="000000"/>
                <w:sz w:val="24"/>
              </w:rPr>
              <w:t>支持基于不同安全策略设定会话长连接老化时间（提供具备C</w:t>
            </w:r>
            <w:r>
              <w:rPr>
                <w:rFonts w:ascii="宋体" w:hAnsi="宋体" w:cs="宋体"/>
                <w:color w:val="000000"/>
                <w:sz w:val="24"/>
              </w:rPr>
              <w:t>NAS标识的</w:t>
            </w:r>
            <w:r>
              <w:rPr>
                <w:rFonts w:hint="eastAsia" w:ascii="宋体" w:hAnsi="宋体" w:cs="宋体"/>
                <w:color w:val="000000"/>
                <w:sz w:val="24"/>
              </w:rPr>
              <w:t>第三方检测报告）；</w:t>
            </w:r>
          </w:p>
          <w:p>
            <w:pPr>
              <w:pStyle w:val="8"/>
              <w:widowControl/>
              <w:numPr>
                <w:ilvl w:val="0"/>
                <w:numId w:val="1"/>
              </w:numPr>
              <w:ind w:firstLineChars="0"/>
              <w:rPr>
                <w:rFonts w:ascii="宋体" w:hAnsi="宋体" w:cs="宋体"/>
                <w:color w:val="000000"/>
                <w:sz w:val="24"/>
              </w:rPr>
            </w:pPr>
            <w:r>
              <w:rPr>
                <w:rFonts w:hint="default" w:ascii="宋体" w:hAnsi="宋体"/>
                <w:sz w:val="24"/>
                <w:szCs w:val="24"/>
              </w:rPr>
              <w:t>▲</w:t>
            </w:r>
            <w:r>
              <w:rPr>
                <w:rFonts w:hint="eastAsia" w:ascii="宋体" w:hAnsi="宋体" w:cs="宋体"/>
                <w:color w:val="000000"/>
                <w:sz w:val="24"/>
              </w:rPr>
              <w:t>支持多虚一部署，可将两台物理设备虚拟化成一台逻辑上的设备（提供具备C</w:t>
            </w:r>
            <w:r>
              <w:rPr>
                <w:rFonts w:ascii="宋体" w:hAnsi="宋体" w:cs="宋体"/>
                <w:color w:val="000000"/>
                <w:sz w:val="24"/>
              </w:rPr>
              <w:t>NAS标识的</w:t>
            </w:r>
            <w:r>
              <w:rPr>
                <w:rFonts w:hint="eastAsia" w:ascii="宋体" w:hAnsi="宋体" w:cs="宋体"/>
                <w:color w:val="000000"/>
                <w:sz w:val="24"/>
              </w:rPr>
              <w:t>第三方检测报告）；</w:t>
            </w:r>
          </w:p>
          <w:p>
            <w:pPr>
              <w:pStyle w:val="8"/>
              <w:widowControl/>
              <w:numPr>
                <w:ilvl w:val="0"/>
                <w:numId w:val="1"/>
              </w:numPr>
              <w:ind w:firstLineChars="0"/>
              <w:rPr>
                <w:rFonts w:ascii="宋体" w:hAnsi="宋体" w:cs="宋体"/>
                <w:color w:val="000000"/>
                <w:sz w:val="24"/>
              </w:rPr>
            </w:pPr>
            <w:r>
              <w:rPr>
                <w:rFonts w:hint="eastAsia" w:ascii="宋体" w:hAnsi="宋体" w:cs="宋体"/>
                <w:color w:val="000000"/>
                <w:sz w:val="24"/>
              </w:rPr>
              <w:t>支持将一台逻辑上的设备虚拟化成多个虚拟防火墙，并可查看各虚拟防火墙的C</w:t>
            </w:r>
            <w:r>
              <w:rPr>
                <w:rFonts w:ascii="宋体" w:hAnsi="宋体" w:cs="宋体"/>
                <w:color w:val="000000"/>
                <w:sz w:val="24"/>
              </w:rPr>
              <w:t>PU和内存利用率、新建、并发</w:t>
            </w:r>
            <w:r>
              <w:rPr>
                <w:rFonts w:hint="eastAsia" w:ascii="宋体" w:hAnsi="宋体" w:cs="宋体"/>
                <w:color w:val="000000"/>
                <w:sz w:val="24"/>
              </w:rPr>
              <w:t>和吞吐信息，并可单独重启特定虚拟防火墙（提供具备C</w:t>
            </w:r>
            <w:r>
              <w:rPr>
                <w:rFonts w:ascii="宋体" w:hAnsi="宋体" w:cs="宋体"/>
                <w:color w:val="000000"/>
                <w:sz w:val="24"/>
              </w:rPr>
              <w:t>NAS标识的</w:t>
            </w:r>
            <w:r>
              <w:rPr>
                <w:rFonts w:hint="eastAsia" w:ascii="宋体" w:hAnsi="宋体" w:cs="宋体"/>
                <w:color w:val="000000"/>
                <w:sz w:val="24"/>
              </w:rPr>
              <w:t>第三方检测报告）</w:t>
            </w:r>
          </w:p>
          <w:p>
            <w:pPr>
              <w:pStyle w:val="8"/>
              <w:widowControl/>
              <w:numPr>
                <w:ilvl w:val="0"/>
                <w:numId w:val="1"/>
              </w:numPr>
              <w:ind w:firstLineChars="0"/>
              <w:rPr>
                <w:rFonts w:ascii="宋体" w:hAnsi="宋体" w:cs="宋体"/>
                <w:color w:val="000000"/>
                <w:sz w:val="24"/>
              </w:rPr>
            </w:pPr>
            <w:r>
              <w:rPr>
                <w:rFonts w:ascii="宋体" w:hAnsi="宋体" w:cs="宋体"/>
                <w:color w:val="000000"/>
                <w:sz w:val="24"/>
              </w:rPr>
              <w:t>支持</w:t>
            </w:r>
            <w:r>
              <w:rPr>
                <w:rFonts w:hint="eastAsia" w:ascii="宋体" w:hAnsi="宋体" w:cs="宋体"/>
                <w:color w:val="000000"/>
                <w:sz w:val="24"/>
              </w:rPr>
              <w:t>M</w:t>
            </w:r>
            <w:r>
              <w:rPr>
                <w:rFonts w:ascii="宋体" w:hAnsi="宋体" w:cs="宋体"/>
                <w:color w:val="000000"/>
                <w:sz w:val="24"/>
              </w:rPr>
              <w:t>PLS</w:t>
            </w:r>
            <w:r>
              <w:rPr>
                <w:rFonts w:hint="eastAsia" w:ascii="宋体" w:hAnsi="宋体" w:cs="宋体"/>
                <w:color w:val="000000"/>
                <w:sz w:val="24"/>
              </w:rPr>
              <w:t>（提供具备C</w:t>
            </w:r>
            <w:r>
              <w:rPr>
                <w:rFonts w:ascii="宋体" w:hAnsi="宋体" w:cs="宋体"/>
                <w:color w:val="000000"/>
                <w:sz w:val="24"/>
              </w:rPr>
              <w:t>NAS标识的</w:t>
            </w:r>
            <w:r>
              <w:rPr>
                <w:rFonts w:hint="eastAsia" w:ascii="宋体" w:hAnsi="宋体" w:cs="宋体"/>
                <w:color w:val="000000"/>
                <w:sz w:val="24"/>
              </w:rPr>
              <w:t>第三方检测报告）</w:t>
            </w:r>
          </w:p>
          <w:p>
            <w:pPr>
              <w:pStyle w:val="8"/>
              <w:widowControl/>
              <w:numPr>
                <w:ilvl w:val="0"/>
                <w:numId w:val="1"/>
              </w:numPr>
              <w:ind w:firstLineChars="0"/>
              <w:rPr>
                <w:rFonts w:ascii="宋体" w:hAnsi="宋体" w:cs="宋体"/>
                <w:color w:val="000000"/>
                <w:sz w:val="24"/>
              </w:rPr>
            </w:pPr>
            <w:r>
              <w:rPr>
                <w:rFonts w:ascii="宋体" w:hAnsi="宋体" w:cs="宋体"/>
                <w:color w:val="000000"/>
                <w:sz w:val="24"/>
              </w:rPr>
              <w:t>为保证业务连通性，设备支持</w:t>
            </w:r>
            <w:r>
              <w:rPr>
                <w:rFonts w:hint="eastAsia" w:ascii="宋体" w:hAnsi="宋体" w:cs="宋体"/>
                <w:color w:val="000000"/>
                <w:sz w:val="24"/>
              </w:rPr>
              <w:t>C</w:t>
            </w:r>
            <w:r>
              <w:rPr>
                <w:rFonts w:ascii="宋体" w:hAnsi="宋体" w:cs="宋体"/>
                <w:color w:val="000000"/>
                <w:sz w:val="24"/>
              </w:rPr>
              <w:t>PU利用率过高时，自动停用部分应用层攻击防护功能</w:t>
            </w:r>
            <w:r>
              <w:rPr>
                <w:rFonts w:hint="eastAsia" w:ascii="宋体" w:hAnsi="宋体" w:cs="宋体"/>
                <w:color w:val="000000"/>
                <w:sz w:val="24"/>
              </w:rPr>
              <w:t>（提供具备C</w:t>
            </w:r>
            <w:r>
              <w:rPr>
                <w:rFonts w:ascii="宋体" w:hAnsi="宋体" w:cs="宋体"/>
                <w:color w:val="000000"/>
                <w:sz w:val="24"/>
              </w:rPr>
              <w:t>NAS标识</w:t>
            </w:r>
            <w:r>
              <w:rPr>
                <w:rFonts w:hint="eastAsia" w:ascii="宋体" w:hAnsi="宋体" w:cs="宋体"/>
                <w:color w:val="000000"/>
                <w:sz w:val="24"/>
              </w:rPr>
              <w:t>第三方检测报告）</w:t>
            </w:r>
          </w:p>
          <w:p>
            <w:pPr>
              <w:pStyle w:val="8"/>
              <w:widowControl/>
              <w:numPr>
                <w:ilvl w:val="0"/>
                <w:numId w:val="1"/>
              </w:numPr>
              <w:ind w:firstLineChars="0"/>
              <w:rPr>
                <w:rFonts w:ascii="宋体" w:hAnsi="宋体" w:cs="宋体"/>
                <w:color w:val="000000"/>
                <w:sz w:val="24"/>
              </w:rPr>
            </w:pPr>
            <w:r>
              <w:rPr>
                <w:rFonts w:hint="default" w:ascii="宋体" w:hAnsi="宋体"/>
                <w:sz w:val="24"/>
                <w:szCs w:val="24"/>
              </w:rPr>
              <w:t>▲</w:t>
            </w:r>
            <w:r>
              <w:rPr>
                <w:rFonts w:ascii="宋体" w:hAnsi="宋体" w:cs="宋体"/>
                <w:color w:val="000000"/>
                <w:sz w:val="24"/>
              </w:rPr>
              <w:t>支持配置回滚，并可对比回滚</w:t>
            </w:r>
            <w:r>
              <w:rPr>
                <w:rFonts w:hint="eastAsia" w:ascii="宋体" w:hAnsi="宋体" w:cs="宋体"/>
                <w:color w:val="000000"/>
                <w:sz w:val="24"/>
              </w:rPr>
              <w:t>前后配置文件中的不同（提供具备C</w:t>
            </w:r>
            <w:r>
              <w:rPr>
                <w:rFonts w:ascii="宋体" w:hAnsi="宋体" w:cs="宋体"/>
                <w:color w:val="000000"/>
                <w:sz w:val="24"/>
              </w:rPr>
              <w:t>NAS标识</w:t>
            </w:r>
            <w:r>
              <w:rPr>
                <w:rFonts w:hint="eastAsia" w:ascii="宋体" w:hAnsi="宋体" w:cs="宋体"/>
                <w:color w:val="000000"/>
                <w:sz w:val="24"/>
              </w:rPr>
              <w:t>第三方检测报告）</w:t>
            </w:r>
          </w:p>
          <w:p>
            <w:pPr>
              <w:pStyle w:val="8"/>
              <w:widowControl/>
              <w:numPr>
                <w:ilvl w:val="0"/>
                <w:numId w:val="1"/>
              </w:numPr>
              <w:ind w:firstLineChars="0"/>
              <w:rPr>
                <w:rFonts w:ascii="宋体" w:hAnsi="宋体" w:cs="宋体"/>
                <w:color w:val="000000"/>
                <w:sz w:val="24"/>
              </w:rPr>
            </w:pPr>
            <w:r>
              <w:rPr>
                <w:rFonts w:hint="default" w:ascii="宋体" w:hAnsi="宋体"/>
                <w:sz w:val="24"/>
                <w:szCs w:val="24"/>
              </w:rPr>
              <w:t>▲</w:t>
            </w:r>
            <w:r>
              <w:rPr>
                <w:rFonts w:hint="eastAsia" w:ascii="宋体" w:hAnsi="宋体" w:cs="宋体"/>
                <w:color w:val="000000"/>
                <w:sz w:val="24"/>
              </w:rPr>
              <w:t>支持对安全策略进行冗余分析，</w:t>
            </w:r>
            <w:r>
              <w:rPr>
                <w:rFonts w:ascii="宋体" w:hAnsi="宋体" w:cs="宋体"/>
                <w:color w:val="000000"/>
                <w:sz w:val="24"/>
              </w:rPr>
              <w:t>并支持</w:t>
            </w:r>
            <w:r>
              <w:rPr>
                <w:rFonts w:hint="eastAsia" w:ascii="宋体" w:hAnsi="宋体" w:cs="宋体"/>
                <w:color w:val="000000"/>
                <w:sz w:val="24"/>
              </w:rPr>
              <w:t>按不同时间段筛选未匹配的策略功能，且可以对其进行禁/启用或者删除操作。（提供具备C</w:t>
            </w:r>
            <w:r>
              <w:rPr>
                <w:rFonts w:ascii="宋体" w:hAnsi="宋体" w:cs="宋体"/>
                <w:color w:val="000000"/>
                <w:sz w:val="24"/>
              </w:rPr>
              <w:t>NAS标识</w:t>
            </w:r>
            <w:r>
              <w:rPr>
                <w:rFonts w:hint="eastAsia" w:ascii="宋体" w:hAnsi="宋体" w:cs="宋体"/>
                <w:color w:val="000000"/>
                <w:sz w:val="24"/>
              </w:rPr>
              <w:t>第三方检测报告）</w:t>
            </w:r>
          </w:p>
          <w:p>
            <w:pPr>
              <w:pStyle w:val="8"/>
              <w:widowControl/>
              <w:numPr>
                <w:ilvl w:val="0"/>
                <w:numId w:val="2"/>
              </w:numPr>
              <w:ind w:firstLineChars="0"/>
              <w:rPr>
                <w:rFonts w:ascii="宋体" w:hAnsi="宋体" w:cs="宋体"/>
                <w:color w:val="000000"/>
                <w:sz w:val="24"/>
              </w:rPr>
            </w:pPr>
            <w:r>
              <w:rPr>
                <w:rFonts w:hint="eastAsia" w:ascii="宋体" w:hAnsi="宋体" w:cs="宋体"/>
                <w:color w:val="000000"/>
                <w:sz w:val="24"/>
              </w:rPr>
              <w:t>为保证可靠性，设备支持双机热备，且主备切换时丢包不超过3个（提供具备C</w:t>
            </w:r>
            <w:r>
              <w:rPr>
                <w:rFonts w:ascii="宋体" w:hAnsi="宋体" w:cs="宋体"/>
                <w:color w:val="000000"/>
                <w:sz w:val="24"/>
              </w:rPr>
              <w:t>NAS标识</w:t>
            </w:r>
            <w:r>
              <w:rPr>
                <w:rFonts w:hint="eastAsia" w:ascii="宋体" w:hAnsi="宋体" w:cs="宋体"/>
                <w:color w:val="000000"/>
                <w:sz w:val="24"/>
              </w:rPr>
              <w:t>第三方检测报告）</w:t>
            </w:r>
          </w:p>
          <w:p>
            <w:pPr>
              <w:pStyle w:val="8"/>
              <w:widowControl/>
              <w:numPr>
                <w:ilvl w:val="0"/>
                <w:numId w:val="2"/>
              </w:numPr>
              <w:ind w:firstLineChars="0"/>
              <w:rPr>
                <w:rFonts w:ascii="宋体" w:hAnsi="宋体" w:cs="宋体"/>
                <w:color w:val="000000"/>
                <w:sz w:val="24"/>
              </w:rPr>
            </w:pPr>
            <w:r>
              <w:rPr>
                <w:rFonts w:ascii="宋体" w:hAnsi="宋体" w:cs="宋体"/>
                <w:color w:val="000000"/>
                <w:sz w:val="24"/>
              </w:rPr>
              <w:t>为保证业务连通性，设备在特征库升级时不影响系统转发</w:t>
            </w:r>
            <w:r>
              <w:rPr>
                <w:rFonts w:hint="eastAsia" w:ascii="宋体" w:hAnsi="宋体" w:cs="宋体"/>
                <w:color w:val="000000"/>
                <w:sz w:val="24"/>
              </w:rPr>
              <w:t>（提供具备C</w:t>
            </w:r>
            <w:r>
              <w:rPr>
                <w:rFonts w:ascii="宋体" w:hAnsi="宋体" w:cs="宋体"/>
                <w:color w:val="000000"/>
                <w:sz w:val="24"/>
              </w:rPr>
              <w:t>NAS标识</w:t>
            </w:r>
            <w:r>
              <w:rPr>
                <w:rFonts w:hint="eastAsia" w:ascii="宋体" w:hAnsi="宋体" w:cs="宋体"/>
                <w:color w:val="000000"/>
                <w:sz w:val="24"/>
              </w:rPr>
              <w:t>第三方检测报告）</w:t>
            </w:r>
          </w:p>
          <w:p>
            <w:pPr>
              <w:pStyle w:val="8"/>
              <w:widowControl/>
              <w:numPr>
                <w:ilvl w:val="0"/>
                <w:numId w:val="2"/>
              </w:numPr>
              <w:ind w:firstLineChars="0"/>
              <w:rPr>
                <w:rFonts w:ascii="宋体" w:hAnsi="宋体" w:cs="宋体"/>
                <w:color w:val="000000"/>
                <w:sz w:val="24"/>
              </w:rPr>
            </w:pPr>
            <w:r>
              <w:rPr>
                <w:rFonts w:ascii="宋体" w:hAnsi="宋体" w:cs="宋体"/>
                <w:color w:val="000000"/>
                <w:sz w:val="24"/>
              </w:rPr>
              <w:t>支持</w:t>
            </w:r>
            <w:r>
              <w:rPr>
                <w:rFonts w:hint="eastAsia" w:ascii="宋体" w:hAnsi="宋体" w:cs="宋体"/>
                <w:color w:val="000000"/>
                <w:sz w:val="24"/>
              </w:rPr>
              <w:t>I</w:t>
            </w:r>
            <w:r>
              <w:rPr>
                <w:rFonts w:ascii="宋体" w:hAnsi="宋体" w:cs="宋体"/>
                <w:color w:val="000000"/>
                <w:sz w:val="24"/>
              </w:rPr>
              <w:t>P信誉黑名单</w:t>
            </w:r>
            <w:r>
              <w:rPr>
                <w:rFonts w:hint="eastAsia" w:ascii="宋体" w:hAnsi="宋体" w:cs="宋体"/>
                <w:color w:val="000000"/>
                <w:sz w:val="24"/>
              </w:rPr>
              <w:t>（提供具备C</w:t>
            </w:r>
            <w:r>
              <w:rPr>
                <w:rFonts w:ascii="宋体" w:hAnsi="宋体" w:cs="宋体"/>
                <w:color w:val="000000"/>
                <w:sz w:val="24"/>
              </w:rPr>
              <w:t>NAS标识</w:t>
            </w:r>
            <w:r>
              <w:rPr>
                <w:rFonts w:hint="eastAsia" w:ascii="宋体" w:hAnsi="宋体" w:cs="宋体"/>
                <w:color w:val="000000"/>
                <w:sz w:val="24"/>
              </w:rPr>
              <w:t>第三方检测报告）</w:t>
            </w:r>
          </w:p>
          <w:p>
            <w:pPr>
              <w:pStyle w:val="8"/>
              <w:widowControl/>
              <w:numPr>
                <w:ilvl w:val="0"/>
                <w:numId w:val="2"/>
              </w:numPr>
              <w:ind w:firstLineChars="0"/>
              <w:rPr>
                <w:rFonts w:ascii="宋体" w:hAnsi="宋体" w:cs="微软雅黑"/>
                <w:color w:val="000000"/>
                <w:sz w:val="24"/>
              </w:rPr>
            </w:pPr>
            <w:r>
              <w:rPr>
                <w:rFonts w:ascii="宋体" w:hAnsi="宋体" w:cs="宋体"/>
                <w:color w:val="000000"/>
                <w:sz w:val="24"/>
              </w:rPr>
              <w:t>支持</w:t>
            </w:r>
            <w:r>
              <w:rPr>
                <w:rFonts w:hint="eastAsia" w:ascii="宋体" w:hAnsi="宋体" w:cs="宋体"/>
                <w:color w:val="000000"/>
                <w:sz w:val="24"/>
              </w:rPr>
              <w:t>I</w:t>
            </w:r>
            <w:r>
              <w:rPr>
                <w:rFonts w:ascii="宋体" w:hAnsi="宋体" w:cs="宋体"/>
                <w:color w:val="000000"/>
                <w:sz w:val="24"/>
              </w:rPr>
              <w:t>Pv6与</w:t>
            </w:r>
            <w:r>
              <w:rPr>
                <w:rFonts w:hint="eastAsia" w:ascii="宋体" w:hAnsi="宋体" w:cs="宋体"/>
                <w:color w:val="000000"/>
                <w:sz w:val="24"/>
              </w:rPr>
              <w:t>I</w:t>
            </w:r>
            <w:r>
              <w:rPr>
                <w:rFonts w:ascii="宋体" w:hAnsi="宋体" w:cs="宋体"/>
                <w:color w:val="000000"/>
                <w:sz w:val="24"/>
              </w:rPr>
              <w:t>Pv4互访</w:t>
            </w:r>
            <w:r>
              <w:rPr>
                <w:rFonts w:hint="eastAsia" w:ascii="宋体" w:hAnsi="宋体" w:cs="宋体"/>
                <w:color w:val="000000"/>
                <w:sz w:val="24"/>
              </w:rPr>
              <w:t>（提供具备C</w:t>
            </w:r>
            <w:r>
              <w:rPr>
                <w:rFonts w:ascii="宋体" w:hAnsi="宋体" w:cs="宋体"/>
                <w:color w:val="000000"/>
                <w:sz w:val="24"/>
              </w:rPr>
              <w:t>NAS标识</w:t>
            </w:r>
            <w:r>
              <w:rPr>
                <w:rFonts w:hint="eastAsia" w:ascii="宋体" w:hAnsi="宋体" w:cs="宋体"/>
                <w:color w:val="000000"/>
                <w:sz w:val="24"/>
              </w:rPr>
              <w:t>第三方检测报告）</w:t>
            </w:r>
          </w:p>
          <w:p>
            <w:pPr>
              <w:pStyle w:val="8"/>
              <w:widowControl/>
              <w:numPr>
                <w:ilvl w:val="0"/>
                <w:numId w:val="2"/>
              </w:numPr>
              <w:ind w:firstLineChars="0"/>
              <w:rPr>
                <w:rFonts w:ascii="宋体" w:hAnsi="宋体" w:cs="微软雅黑"/>
                <w:color w:val="000000"/>
                <w:sz w:val="24"/>
              </w:rPr>
            </w:pPr>
            <w:r>
              <w:rPr>
                <w:rFonts w:hint="eastAsia" w:ascii="宋体" w:hAnsi="宋体" w:cs="宋体"/>
                <w:color w:val="000000"/>
                <w:sz w:val="24"/>
              </w:rPr>
              <w:t>访问控制策略支持基于源/目的IP，源/目的端口，源/目的区域，用户（组），应用/服务类型的细化控制方式；</w:t>
            </w:r>
          </w:p>
          <w:p>
            <w:pPr>
              <w:pStyle w:val="8"/>
              <w:widowControl/>
              <w:numPr>
                <w:ilvl w:val="0"/>
                <w:numId w:val="2"/>
              </w:numPr>
              <w:ind w:firstLineChars="0"/>
              <w:rPr>
                <w:rFonts w:ascii="宋体" w:hAnsi="宋体" w:cs="微软雅黑"/>
                <w:color w:val="000000"/>
                <w:sz w:val="24"/>
              </w:rPr>
            </w:pPr>
            <w:r>
              <w:rPr>
                <w:rFonts w:hint="eastAsia" w:ascii="宋体" w:hAnsi="宋体" w:cs="微软雅黑"/>
                <w:color w:val="000000"/>
                <w:sz w:val="24"/>
              </w:rPr>
              <w:t>支持二层模式（透明模式）、三层模式（路由和NAT模式）和混合模式；</w:t>
            </w:r>
          </w:p>
          <w:p>
            <w:pPr>
              <w:pStyle w:val="8"/>
              <w:widowControl/>
              <w:numPr>
                <w:ilvl w:val="0"/>
                <w:numId w:val="2"/>
              </w:numPr>
              <w:ind w:firstLineChars="0"/>
              <w:rPr>
                <w:rFonts w:ascii="宋体" w:hAnsi="宋体" w:cs="宋体"/>
                <w:color w:val="000000"/>
                <w:sz w:val="24"/>
              </w:rPr>
            </w:pPr>
            <w:r>
              <w:rPr>
                <w:rFonts w:hint="eastAsia" w:ascii="宋体" w:hAnsi="宋体" w:cs="宋体"/>
                <w:color w:val="000000"/>
                <w:sz w:val="24"/>
              </w:rPr>
              <w:t>支持链路聚合功能、接口状态同步功能；</w:t>
            </w:r>
          </w:p>
          <w:p>
            <w:pPr>
              <w:pStyle w:val="8"/>
              <w:widowControl/>
              <w:numPr>
                <w:ilvl w:val="0"/>
                <w:numId w:val="2"/>
              </w:numPr>
              <w:ind w:firstLineChars="0"/>
              <w:rPr>
                <w:rFonts w:ascii="宋体" w:hAnsi="宋体" w:cs="宋体"/>
                <w:color w:val="000000"/>
                <w:sz w:val="24"/>
              </w:rPr>
            </w:pPr>
            <w:r>
              <w:rPr>
                <w:rFonts w:hint="eastAsia" w:ascii="宋体" w:hAnsi="宋体" w:cs="宋体"/>
                <w:color w:val="000000"/>
                <w:sz w:val="24"/>
              </w:rPr>
              <w:t>支持静态路由、等价路由，支持RIP、RIPng；OSPFv2/v3动态路由协议；</w:t>
            </w:r>
          </w:p>
          <w:p>
            <w:pPr>
              <w:pStyle w:val="8"/>
              <w:widowControl/>
              <w:numPr>
                <w:ilvl w:val="0"/>
                <w:numId w:val="2"/>
              </w:numPr>
              <w:ind w:firstLineChars="0"/>
              <w:rPr>
                <w:rFonts w:ascii="宋体" w:hAnsi="宋体" w:cs="宋体"/>
                <w:color w:val="000000"/>
                <w:sz w:val="24"/>
              </w:rPr>
            </w:pPr>
            <w:r>
              <w:rPr>
                <w:rFonts w:hint="eastAsia" w:ascii="宋体" w:hAnsi="宋体" w:cs="宋体"/>
                <w:color w:val="000000"/>
                <w:sz w:val="24"/>
              </w:rPr>
              <w:t>支持IPv4／v6 NAT地址转换，支持源目的地址转换，目的地址转换和双向地址转换，支持针对源IP或者目的IP进行连接数控制；</w:t>
            </w:r>
          </w:p>
          <w:p>
            <w:pPr>
              <w:pStyle w:val="8"/>
              <w:widowControl/>
              <w:numPr>
                <w:ilvl w:val="0"/>
                <w:numId w:val="2"/>
              </w:numPr>
              <w:ind w:firstLineChars="0"/>
              <w:rPr>
                <w:rFonts w:ascii="宋体" w:hAnsi="宋体" w:cs="宋体"/>
                <w:color w:val="000000"/>
                <w:sz w:val="24"/>
              </w:rPr>
            </w:pPr>
            <w:r>
              <w:rPr>
                <w:rFonts w:hint="eastAsia" w:ascii="宋体" w:hAnsi="宋体" w:cs="宋体"/>
                <w:color w:val="000000"/>
                <w:sz w:val="24"/>
              </w:rPr>
              <w:t>支持Land、Smurf、Fraggle、WinNuke、Ping of Death、Tear Drop、IP Spoofing攻击防护；</w:t>
            </w:r>
          </w:p>
          <w:p>
            <w:pPr>
              <w:pStyle w:val="8"/>
              <w:widowControl/>
              <w:numPr>
                <w:ilvl w:val="0"/>
                <w:numId w:val="2"/>
              </w:numPr>
              <w:ind w:firstLineChars="0"/>
              <w:rPr>
                <w:rFonts w:ascii="宋体" w:hAnsi="宋体" w:cs="宋体"/>
                <w:color w:val="000000"/>
                <w:sz w:val="24"/>
              </w:rPr>
            </w:pPr>
            <w:r>
              <w:rPr>
                <w:rFonts w:hint="eastAsia" w:ascii="宋体" w:hAnsi="宋体" w:cs="宋体"/>
                <w:color w:val="000000"/>
                <w:sz w:val="24"/>
              </w:rPr>
              <w:t>支持SYN Flood、ICMP Flood、UDP Flood、ARP Flood攻击防护，支持IP地址扫描，端口扫描防护，支持ARP欺骗防护功能、支持IP协议异常报文检测和TCP协议异常报文检测；</w:t>
            </w:r>
          </w:p>
          <w:p>
            <w:pPr>
              <w:pStyle w:val="8"/>
              <w:widowControl/>
              <w:numPr>
                <w:ilvl w:val="0"/>
                <w:numId w:val="2"/>
              </w:numPr>
              <w:ind w:firstLineChars="0"/>
              <w:rPr>
                <w:rFonts w:ascii="宋体" w:hAnsi="宋体" w:cs="宋体"/>
                <w:color w:val="000000"/>
                <w:sz w:val="24"/>
              </w:rPr>
            </w:pPr>
            <w:r>
              <w:rPr>
                <w:rFonts w:hint="eastAsia" w:ascii="宋体" w:hAnsi="宋体" w:cs="宋体"/>
                <w:color w:val="000000"/>
                <w:sz w:val="24"/>
              </w:rPr>
              <w:t>双机支持A/S，A/A方式部署，支持配置同步，会话同步和用户状态同步；</w:t>
            </w:r>
          </w:p>
          <w:p>
            <w:pPr>
              <w:pStyle w:val="8"/>
              <w:widowControl/>
              <w:numPr>
                <w:ilvl w:val="0"/>
                <w:numId w:val="2"/>
              </w:numPr>
              <w:ind w:firstLineChars="0"/>
              <w:rPr>
                <w:rFonts w:ascii="宋体" w:hAnsi="宋体" w:cs="宋体"/>
                <w:color w:val="000000"/>
                <w:sz w:val="24"/>
              </w:rPr>
            </w:pPr>
            <w:r>
              <w:rPr>
                <w:rFonts w:hint="eastAsia" w:ascii="宋体" w:hAnsi="宋体" w:cs="宋体"/>
                <w:color w:val="000000"/>
                <w:sz w:val="24"/>
              </w:rPr>
              <w:t>支持管理员权限分级，支持安全管理员、审计员、系统管理员三种权限；</w:t>
            </w:r>
          </w:p>
          <w:p>
            <w:pPr>
              <w:pStyle w:val="8"/>
              <w:widowControl/>
              <w:numPr>
                <w:ilvl w:val="0"/>
                <w:numId w:val="2"/>
              </w:numPr>
              <w:ind w:firstLineChars="0"/>
              <w:rPr>
                <w:rFonts w:ascii="宋体" w:hAnsi="宋体" w:cs="宋体"/>
                <w:color w:val="000000"/>
                <w:sz w:val="24"/>
              </w:rPr>
            </w:pPr>
            <w:r>
              <w:rPr>
                <w:rFonts w:hint="eastAsia" w:ascii="宋体" w:hAnsi="宋体" w:cs="宋体"/>
                <w:color w:val="000000"/>
                <w:sz w:val="24"/>
              </w:rPr>
              <w:t>支持对HTTP，FTP，SMTP，POP3协议进行病毒文件检测；</w:t>
            </w:r>
          </w:p>
          <w:p>
            <w:pPr>
              <w:pStyle w:val="8"/>
              <w:widowControl/>
              <w:numPr>
                <w:ilvl w:val="0"/>
                <w:numId w:val="2"/>
              </w:numPr>
              <w:ind w:firstLineChars="0"/>
              <w:rPr>
                <w:rFonts w:ascii="宋体" w:hAnsi="宋体" w:cs="宋体"/>
                <w:color w:val="000000"/>
                <w:sz w:val="24"/>
              </w:rPr>
            </w:pPr>
            <w:r>
              <w:rPr>
                <w:rFonts w:hint="eastAsia" w:ascii="宋体" w:hAnsi="宋体" w:cs="宋体"/>
                <w:color w:val="000000"/>
                <w:sz w:val="24"/>
              </w:rPr>
              <w:t>检测到病毒后的操作支持阻断，记录杀毒日志；</w:t>
            </w:r>
          </w:p>
          <w:p>
            <w:pPr>
              <w:pStyle w:val="8"/>
              <w:widowControl/>
              <w:numPr>
                <w:ilvl w:val="0"/>
                <w:numId w:val="2"/>
              </w:numPr>
              <w:ind w:firstLineChars="0"/>
              <w:rPr>
                <w:rFonts w:ascii="宋体" w:hAnsi="宋体" w:cs="宋体"/>
                <w:color w:val="000000"/>
                <w:sz w:val="24"/>
              </w:rPr>
            </w:pPr>
            <w:r>
              <w:rPr>
                <w:rFonts w:hint="eastAsia" w:ascii="宋体" w:hAnsi="宋体" w:cs="宋体"/>
                <w:color w:val="000000"/>
                <w:sz w:val="24"/>
              </w:rPr>
              <w:t>入侵防护漏洞规则特征库数量在6000条以上，入侵防护漏洞特征具备中文相关介绍，包括但不限于漏洞名称，危险等级，对应CVE编号；</w:t>
            </w:r>
          </w:p>
          <w:p>
            <w:pPr>
              <w:pStyle w:val="8"/>
              <w:widowControl/>
              <w:numPr>
                <w:ilvl w:val="0"/>
                <w:numId w:val="2"/>
              </w:numPr>
              <w:ind w:firstLineChars="0"/>
              <w:rPr>
                <w:rFonts w:cs="宋体"/>
                <w:bCs/>
                <w:szCs w:val="24"/>
              </w:rPr>
            </w:pPr>
            <w:r>
              <w:rPr>
                <w:rFonts w:hint="eastAsia" w:ascii="宋体" w:hAnsi="宋体" w:cs="宋体"/>
                <w:color w:val="000000"/>
                <w:sz w:val="24"/>
              </w:rPr>
              <w:t>支持对信任区域主机外发的异常流量进行检测，如ICMP，</w:t>
            </w:r>
            <w:r>
              <w:rPr>
                <w:rFonts w:ascii="宋体" w:hAnsi="宋体" w:cs="宋体"/>
                <w:color w:val="000000"/>
                <w:sz w:val="24"/>
              </w:rPr>
              <w:t>UDP</w:t>
            </w:r>
            <w:r>
              <w:rPr>
                <w:rFonts w:hint="eastAsia" w:ascii="宋体" w:hAnsi="宋体" w:cs="宋体"/>
                <w:color w:val="000000"/>
                <w:sz w:val="24"/>
              </w:rPr>
              <w:t>，SYN，DNS Flood等DDoS攻击行为；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34" w:type="dxa"/>
            <w:vAlign w:val="center"/>
          </w:tcPr>
          <w:p>
            <w:pPr>
              <w:pStyle w:val="3"/>
              <w:widowControl/>
              <w:spacing w:before="300" w:after="300" w:line="360" w:lineRule="atLeast"/>
              <w:jc w:val="center"/>
            </w:pPr>
            <w:r>
              <w:rPr>
                <w:rFonts w:hint="default" w:ascii="宋体" w:hAnsi="宋体" w:eastAsia="宋体" w:cs="宋体"/>
                <w:b w:val="0"/>
                <w:bCs w:val="0"/>
                <w:i w:val="0"/>
                <w:iCs w:val="0"/>
                <w:color w:val="auto"/>
                <w:sz w:val="24"/>
                <w:szCs w:val="24"/>
                <w:highlight w:val="none"/>
                <w:vertAlign w:val="baseline"/>
                <w:lang w:val="en-US" w:eastAsia="zh-CN"/>
              </w:rPr>
              <w:t>★</w:t>
            </w:r>
            <w:r>
              <w:rPr>
                <w:rFonts w:hint="eastAsia"/>
              </w:rPr>
              <w:t>其他要求</w:t>
            </w:r>
          </w:p>
        </w:tc>
        <w:tc>
          <w:tcPr>
            <w:tcW w:w="6585" w:type="dxa"/>
          </w:tcPr>
          <w:p>
            <w:pPr>
              <w:rPr>
                <w:rFonts w:hint="eastAsia" w:ascii="宋体" w:hAnsi="宋体" w:cs="宋体"/>
                <w:bCs/>
                <w:sz w:val="24"/>
                <w:szCs w:val="24"/>
              </w:rPr>
            </w:pPr>
            <w:r>
              <w:rPr>
                <w:rFonts w:hint="eastAsia" w:ascii="宋体" w:hAnsi="宋体" w:cs="宋体"/>
                <w:bCs/>
                <w:sz w:val="24"/>
                <w:szCs w:val="24"/>
              </w:rPr>
              <w:t>中标方提供的服务及相关设备必须符合绍兴市医疗保障局关于《绍兴市医疗保障局关于开展智慧医保专网违规外联专项整治及安全接入工作的通知》的要求。需具备提供网络接入服务的能力；接入“智慧医保”骨干网网络的能力。</w:t>
            </w:r>
          </w:p>
        </w:tc>
      </w:tr>
    </w:tbl>
    <w:p>
      <w:pPr>
        <w:pStyle w:val="2"/>
        <w:jc w:val="both"/>
        <w:rPr>
          <w:rFonts w:hAnsi="宋体"/>
          <w:b/>
          <w:bCs/>
          <w:sz w:val="24"/>
          <w:szCs w:val="24"/>
        </w:rPr>
      </w:pPr>
    </w:p>
    <w:p>
      <w:pPr>
        <w:pStyle w:val="2"/>
        <w:rPr>
          <w:rFonts w:hAnsi="宋体"/>
          <w:b/>
          <w:bCs/>
          <w:sz w:val="24"/>
          <w:szCs w:val="24"/>
        </w:rPr>
      </w:pPr>
    </w:p>
    <w:p>
      <w:pPr>
        <w:widowControl/>
        <w:spacing w:line="360" w:lineRule="auto"/>
        <w:ind w:firstLine="482" w:firstLineChars="200"/>
        <w:jc w:val="left"/>
        <w:outlineLvl w:val="2"/>
      </w:pPr>
      <w:r>
        <w:rPr>
          <w:rFonts w:hint="eastAsia" w:ascii="宋体" w:hAnsi="宋体"/>
          <w:b/>
          <w:sz w:val="24"/>
          <w:szCs w:val="24"/>
          <w:lang w:val="en-US" w:eastAsia="zh-CN"/>
        </w:rPr>
        <w:t>备注：</w:t>
      </w:r>
      <w:r>
        <w:rPr>
          <w:rFonts w:hint="eastAsia" w:ascii="宋体" w:hAnsi="宋体"/>
          <w:sz w:val="24"/>
          <w:szCs w:val="24"/>
        </w:rPr>
        <w:t>参数中带“★”的为强制性参数，必须完全满足，否则视为无效报价</w:t>
      </w:r>
      <w:r>
        <w:rPr>
          <w:rFonts w:hint="default" w:ascii="宋体" w:hAnsi="宋体"/>
          <w:sz w:val="24"/>
          <w:szCs w:val="24"/>
        </w:rPr>
        <w:t>；</w:t>
      </w:r>
      <w:r>
        <w:rPr>
          <w:rFonts w:hint="eastAsia" w:ascii="宋体" w:hAnsi="宋体"/>
          <w:sz w:val="24"/>
          <w:szCs w:val="24"/>
        </w:rPr>
        <w:t>参数中带“</w:t>
      </w:r>
      <w:r>
        <w:rPr>
          <w:rFonts w:hint="default" w:ascii="宋体" w:hAnsi="宋体"/>
          <w:sz w:val="24"/>
          <w:szCs w:val="24"/>
        </w:rPr>
        <w:t>▲</w:t>
      </w:r>
      <w:r>
        <w:rPr>
          <w:rFonts w:hint="eastAsia" w:ascii="宋体" w:hAnsi="宋体"/>
          <w:sz w:val="24"/>
          <w:szCs w:val="24"/>
        </w:rPr>
        <w:t>”的为</w:t>
      </w:r>
      <w:r>
        <w:rPr>
          <w:rFonts w:hint="default" w:ascii="宋体" w:hAnsi="宋体"/>
          <w:sz w:val="24"/>
          <w:szCs w:val="24"/>
        </w:rPr>
        <w:t>重要参数，需具备2个以上。</w:t>
      </w:r>
      <w:r>
        <w:rPr>
          <w:rFonts w:hint="eastAsia" w:ascii="宋体" w:hAnsi="宋体"/>
          <w:sz w:val="24"/>
          <w:szCs w:val="24"/>
        </w:rPr>
        <w:t>参数虚假响应的，</w:t>
      </w:r>
      <w:r>
        <w:rPr>
          <w:rFonts w:hint="eastAsia" w:ascii="宋体" w:hAnsi="宋体"/>
          <w:sz w:val="24"/>
          <w:szCs w:val="24"/>
          <w:lang w:val="en-US" w:eastAsia="zh-CN"/>
        </w:rPr>
        <w:t>按相关规定处理。</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lvlText w:val="%1、"/>
      <w:lvlJc w:val="left"/>
      <w:pPr>
        <w:ind w:left="420" w:hanging="4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0"/>
    <w:lvlOverride w:ilvl="0">
      <w:lvl w:ilvl="0" w:tentative="1">
        <w:start w:val="1"/>
        <w:numFmt w:val="decimal"/>
        <w:suff w:val="nothing"/>
        <w:lvlText w:val="%1、"/>
        <w:lvlJc w:val="left"/>
        <w:pPr>
          <w:ind w:left="420" w:hanging="420"/>
        </w:pPr>
        <w:rPr>
          <w:rFonts w:hint="default"/>
        </w:rPr>
      </w:lvl>
    </w:lvlOverride>
    <w:lvlOverride w:ilvl="1">
      <w:lvl w:ilvl="1" w:tentative="1">
        <w:start w:val="1"/>
        <w:numFmt w:val="lowerLetter"/>
        <w:lvlText w:val="%2)"/>
        <w:lvlJc w:val="left"/>
        <w:pPr>
          <w:ind w:left="840" w:hanging="420"/>
        </w:pPr>
      </w:lvl>
    </w:lvlOverride>
    <w:lvlOverride w:ilvl="2">
      <w:lvl w:ilvl="2" w:tentative="1">
        <w:start w:val="1"/>
        <w:numFmt w:val="lowerRoman"/>
        <w:lvlText w:val="%3."/>
        <w:lvlJc w:val="right"/>
        <w:pPr>
          <w:ind w:left="1260" w:hanging="420"/>
        </w:pPr>
      </w:lvl>
    </w:lvlOverride>
    <w:lvlOverride w:ilvl="3">
      <w:lvl w:ilvl="3" w:tentative="1">
        <w:start w:val="1"/>
        <w:numFmt w:val="decimal"/>
        <w:lvlText w:val="%4."/>
        <w:lvlJc w:val="left"/>
        <w:pPr>
          <w:ind w:left="1680" w:hanging="420"/>
        </w:pPr>
      </w:lvl>
    </w:lvlOverride>
    <w:lvlOverride w:ilvl="4">
      <w:lvl w:ilvl="4" w:tentative="1">
        <w:start w:val="1"/>
        <w:numFmt w:val="lowerLetter"/>
        <w:lvlText w:val="%5)"/>
        <w:lvlJc w:val="left"/>
        <w:pPr>
          <w:ind w:left="2100" w:hanging="420"/>
        </w:pPr>
      </w:lvl>
    </w:lvlOverride>
    <w:lvlOverride w:ilvl="5">
      <w:lvl w:ilvl="5" w:tentative="1">
        <w:start w:val="1"/>
        <w:numFmt w:val="lowerRoman"/>
        <w:lvlText w:val="%6."/>
        <w:lvlJc w:val="right"/>
        <w:pPr>
          <w:ind w:left="2520" w:hanging="420"/>
        </w:pPr>
      </w:lvl>
    </w:lvlOverride>
    <w:lvlOverride w:ilvl="6">
      <w:lvl w:ilvl="6" w:tentative="1">
        <w:start w:val="1"/>
        <w:numFmt w:val="decimal"/>
        <w:lvlText w:val="%7."/>
        <w:lvlJc w:val="left"/>
        <w:pPr>
          <w:ind w:left="2940" w:hanging="420"/>
        </w:pPr>
      </w:lvl>
    </w:lvlOverride>
    <w:lvlOverride w:ilvl="7">
      <w:lvl w:ilvl="7" w:tentative="1">
        <w:start w:val="1"/>
        <w:numFmt w:val="lowerLetter"/>
        <w:lvlText w:val="%8)"/>
        <w:lvlJc w:val="left"/>
        <w:pPr>
          <w:ind w:left="3360" w:hanging="420"/>
        </w:pPr>
      </w:lvl>
    </w:lvlOverride>
    <w:lvlOverride w:ilvl="8">
      <w:lvl w:ilvl="8" w:tentative="1">
        <w:start w:val="1"/>
        <w:numFmt w:val="lowerRoman"/>
        <w:lvlText w:val="%9."/>
        <w:lvlJc w:val="right"/>
        <w:pPr>
          <w:ind w:left="3780" w:hanging="42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Q5YzExYjE1NTkzNjIwM2E5MjZjMzk4MTVjZjA0NzAifQ=="/>
  </w:docVars>
  <w:rsids>
    <w:rsidRoot w:val="00000000"/>
    <w:rsid w:val="67567E74"/>
    <w:rsid w:val="79AF35EC"/>
    <w:rsid w:val="7F33BB58"/>
    <w:rsid w:val="F7EB05B2"/>
    <w:rsid w:val="F7FF51E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lang w:val="en-US" w:eastAsia="zh-CN" w:bidi="ar-SA"/>
    </w:rPr>
  </w:style>
  <w:style w:type="character" w:default="1" w:styleId="6">
    <w:name w:val="Default Paragraph Font"/>
    <w:uiPriority w:val="1"/>
  </w:style>
  <w:style w:type="table" w:default="1" w:styleId="4">
    <w:name w:val="Normal Table"/>
    <w:uiPriority w:val="99"/>
    <w:tblPr>
      <w:tblCellMar>
        <w:top w:w="0" w:type="dxa"/>
        <w:left w:w="108" w:type="dxa"/>
        <w:bottom w:w="0" w:type="dxa"/>
        <w:right w:w="108" w:type="dxa"/>
      </w:tblCellMar>
    </w:tblPr>
  </w:style>
  <w:style w:type="paragraph" w:styleId="2">
    <w:name w:val="header"/>
    <w:basedOn w:val="1"/>
    <w:autoRedefine/>
    <w:qFormat/>
    <w:uiPriority w:val="99"/>
    <w:pPr>
      <w:pBdr>
        <w:bottom w:val="single" w:color="auto" w:sz="6" w:space="1"/>
      </w:pBdr>
      <w:tabs>
        <w:tab w:val="center" w:pos="4153"/>
        <w:tab w:val="right" w:pos="8306"/>
      </w:tabs>
      <w:adjustRightInd w:val="0"/>
      <w:snapToGrid w:val="0"/>
      <w:spacing w:line="240" w:lineRule="atLeast"/>
      <w:jc w:val="center"/>
      <w:textAlignment w:val="baseline"/>
    </w:pPr>
    <w:rPr>
      <w:rFonts w:ascii="宋体" w:cs="宋体"/>
      <w:sz w:val="18"/>
      <w:szCs w:val="18"/>
    </w:rPr>
  </w:style>
  <w:style w:type="paragraph" w:styleId="3">
    <w:name w:val="Normal (Web)"/>
    <w:basedOn w:val="1"/>
    <w:autoRedefine/>
    <w:qFormat/>
    <w:uiPriority w:val="99"/>
    <w:pPr>
      <w:spacing w:before="100" w:beforeAutospacing="1" w:after="100" w:afterAutospacing="1"/>
    </w:pPr>
    <w:rPr>
      <w:rFonts w:ascii="宋体" w:hAnsi="宋体" w:cs="宋体"/>
      <w:sz w:val="24"/>
      <w:szCs w:val="24"/>
    </w:rPr>
  </w:style>
  <w:style w:type="table" w:styleId="5">
    <w:name w:val="Table Grid"/>
    <w:basedOn w:val="4"/>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7">
    <w:name w:val="标准正文格式"/>
    <w:autoRedefine/>
    <w:qFormat/>
    <w:uiPriority w:val="0"/>
    <w:pPr>
      <w:spacing w:before="60" w:after="120" w:line="360" w:lineRule="auto"/>
      <w:ind w:firstLine="200"/>
      <w:jc w:val="both"/>
    </w:pPr>
    <w:rPr>
      <w:rFonts w:ascii="宋体" w:hAnsi="宋体" w:eastAsia="宋体" w:cs="宋体"/>
      <w:color w:val="000000"/>
      <w:sz w:val="24"/>
      <w:szCs w:val="24"/>
      <w:u w:color="000000"/>
      <w:lang w:val="en-US" w:eastAsia="zh-CN" w:bidi="ar-SA"/>
    </w:rPr>
  </w:style>
  <w:style w:type="paragraph" w:styleId="8">
    <w:name w:val="List Paragraph"/>
    <w:basedOn w:val="1"/>
    <w:autoRedefine/>
    <w:qFormat/>
    <w:uiPriority w:val="99"/>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Pages>3</Pages>
  <Words>1869</Words>
  <Characters>2108</Characters>
  <Paragraphs>80</Paragraphs>
  <TotalTime>0</TotalTime>
  <ScaleCrop>false</ScaleCrop>
  <LinksUpToDate>false</LinksUpToDate>
  <CharactersWithSpaces>2126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2024-04-24T19:00:00Z</dcterms:created>
  <dc:creator>莫国方</dc:creator>
  <cp:lastModifiedBy>CJD</cp:lastModifiedBy>
  <dcterms:modified xsi:type="dcterms:W3CDTF">2024-04-25T06:41:53Z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125266c7d0644653a4333e5591ba8a09_23</vt:lpwstr>
  </property>
</Properties>
</file>